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84454B" w14:textId="323E675F" w:rsidR="006D092F" w:rsidRDefault="00250CDE" w:rsidP="006D092F">
      <w:p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Central Tender No. 3-2022 for the acquisition of </w:t>
      </w:r>
      <w:r w:rsidR="00457E1F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EMV </w:t>
      </w:r>
      <w:r w:rsidR="006F727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supporting </w:t>
      </w:r>
      <w:r w:rsidR="00457E1F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clearing means </w:t>
      </w:r>
      <w:r w:rsidR="006F727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products and associated services for </w:t>
      </w:r>
      <w:r w:rsidR="00DF1D69">
        <w:rPr>
          <w:rFonts w:asciiTheme="majorBidi" w:hAnsiTheme="majorBidi" w:cstheme="majorBidi"/>
          <w:b/>
          <w:bCs/>
          <w:sz w:val="24"/>
          <w:szCs w:val="24"/>
          <w:u w:val="single"/>
        </w:rPr>
        <w:t>the government offices</w:t>
      </w:r>
    </w:p>
    <w:p w14:paraId="78EAB8BF" w14:textId="7475E10A" w:rsidR="00336CB6" w:rsidRPr="00336CB6" w:rsidRDefault="00336CB6" w:rsidP="00336CB6">
      <w:pPr>
        <w:widowControl w:val="0"/>
        <w:bidi w:val="0"/>
        <w:spacing w:after="0" w:line="360" w:lineRule="auto"/>
        <w:rPr>
          <w:rFonts w:asciiTheme="majorBidi" w:eastAsia="Times New Roman" w:hAnsiTheme="majorBidi" w:cstheme="majorBidi"/>
          <w:sz w:val="24"/>
          <w:szCs w:val="24"/>
        </w:rPr>
      </w:pPr>
      <w:r w:rsidRPr="00336CB6">
        <w:rPr>
          <w:rFonts w:asciiTheme="majorBidi" w:eastAsia="Times New Roman" w:hAnsiTheme="majorBidi" w:cstheme="majorBidi"/>
          <w:sz w:val="24"/>
          <w:szCs w:val="24"/>
        </w:rPr>
        <w:t xml:space="preserve">The Government Procurement Administration at the Accountant General </w:t>
      </w:r>
      <w:r w:rsidRPr="00336CB6">
        <w:rPr>
          <w:rFonts w:asciiTheme="majorBidi" w:eastAsia="Times New Roman" w:hAnsiTheme="majorBidi" w:cstheme="majorBidi" w:hint="cs"/>
          <w:sz w:val="24"/>
          <w:szCs w:val="24"/>
        </w:rPr>
        <w:t>D</w:t>
      </w:r>
      <w:r w:rsidRPr="00336CB6">
        <w:rPr>
          <w:rFonts w:asciiTheme="majorBidi" w:eastAsia="Times New Roman" w:hAnsiTheme="majorBidi" w:cstheme="majorBidi"/>
          <w:sz w:val="24"/>
          <w:szCs w:val="24"/>
        </w:rPr>
        <w:t>epartment, Ministry of Finance (hereinafter: "</w:t>
      </w:r>
      <w:r w:rsidRPr="00336CB6">
        <w:rPr>
          <w:rFonts w:asciiTheme="majorBidi" w:eastAsia="Times New Roman" w:hAnsiTheme="majorBidi" w:cstheme="majorBidi"/>
          <w:b/>
          <w:bCs/>
          <w:sz w:val="24"/>
          <w:szCs w:val="24"/>
        </w:rPr>
        <w:t>Tender Organizer</w:t>
      </w:r>
      <w:r w:rsidRPr="00336CB6">
        <w:rPr>
          <w:rFonts w:asciiTheme="majorBidi" w:eastAsia="Times New Roman" w:hAnsiTheme="majorBidi" w:cstheme="majorBidi"/>
          <w:sz w:val="24"/>
          <w:szCs w:val="24"/>
        </w:rPr>
        <w:t xml:space="preserve">") issues a tender number </w:t>
      </w:r>
      <w:r>
        <w:rPr>
          <w:rFonts w:asciiTheme="majorBidi" w:eastAsia="Times New Roman" w:hAnsiTheme="majorBidi" w:cstheme="majorBidi"/>
          <w:sz w:val="24"/>
          <w:szCs w:val="24"/>
        </w:rPr>
        <w:t>3</w:t>
      </w:r>
      <w:r w:rsidRPr="00336CB6">
        <w:rPr>
          <w:rFonts w:asciiTheme="majorBidi" w:eastAsia="Times New Roman" w:hAnsiTheme="majorBidi" w:cstheme="majorBidi"/>
          <w:sz w:val="24"/>
          <w:szCs w:val="24"/>
        </w:rPr>
        <w:t xml:space="preserve">-2022 for the </w:t>
      </w:r>
      <w:r w:rsidR="000F7517">
        <w:rPr>
          <w:rFonts w:asciiTheme="majorBidi" w:eastAsia="Times New Roman" w:hAnsiTheme="majorBidi" w:cstheme="majorBidi"/>
          <w:sz w:val="24"/>
          <w:szCs w:val="24"/>
        </w:rPr>
        <w:t>supply of EMV supporting clearing me</w:t>
      </w:r>
      <w:r w:rsidR="00DD06D0">
        <w:rPr>
          <w:rFonts w:asciiTheme="majorBidi" w:eastAsia="Times New Roman" w:hAnsiTheme="majorBidi" w:cstheme="majorBidi"/>
          <w:sz w:val="24"/>
          <w:szCs w:val="24"/>
        </w:rPr>
        <w:t>an</w:t>
      </w:r>
      <w:r w:rsidR="000F7517">
        <w:rPr>
          <w:rFonts w:asciiTheme="majorBidi" w:eastAsia="Times New Roman" w:hAnsiTheme="majorBidi" w:cstheme="majorBidi"/>
          <w:sz w:val="24"/>
          <w:szCs w:val="24"/>
        </w:rPr>
        <w:t>s</w:t>
      </w:r>
      <w:r w:rsidRPr="00336CB6">
        <w:rPr>
          <w:rFonts w:asciiTheme="majorBidi" w:eastAsia="Times New Roman" w:hAnsiTheme="majorBidi" w:cstheme="majorBidi"/>
          <w:sz w:val="24"/>
          <w:szCs w:val="24"/>
        </w:rPr>
        <w:t xml:space="preserve">, </w:t>
      </w:r>
      <w:r w:rsidR="00A93433">
        <w:rPr>
          <w:rFonts w:asciiTheme="majorBidi" w:eastAsia="Times New Roman" w:hAnsiTheme="majorBidi" w:cstheme="majorBidi"/>
          <w:sz w:val="24"/>
          <w:szCs w:val="24"/>
        </w:rPr>
        <w:t>products</w:t>
      </w:r>
      <w:r w:rsidR="00B0392D">
        <w:rPr>
          <w:rFonts w:asciiTheme="majorBidi" w:eastAsia="Times New Roman" w:hAnsiTheme="majorBidi" w:cstheme="majorBidi"/>
          <w:sz w:val="24"/>
          <w:szCs w:val="24"/>
        </w:rPr>
        <w:t>,</w:t>
      </w:r>
      <w:r w:rsidR="00A93433">
        <w:rPr>
          <w:rFonts w:asciiTheme="majorBidi" w:eastAsia="Times New Roman" w:hAnsiTheme="majorBidi" w:cstheme="majorBidi"/>
          <w:sz w:val="24"/>
          <w:szCs w:val="24"/>
        </w:rPr>
        <w:t xml:space="preserve"> and associated services (</w:t>
      </w:r>
      <w:r w:rsidR="00A93433" w:rsidRPr="00336CB6">
        <w:rPr>
          <w:rFonts w:asciiTheme="majorBidi" w:eastAsia="Times New Roman" w:hAnsiTheme="majorBidi" w:cstheme="majorBidi"/>
          <w:sz w:val="24"/>
          <w:szCs w:val="24"/>
        </w:rPr>
        <w:t>hereinafter: "</w:t>
      </w:r>
      <w:r w:rsidR="00A93433" w:rsidRPr="00336CB6">
        <w:rPr>
          <w:rFonts w:asciiTheme="majorBidi" w:eastAsia="Times New Roman" w:hAnsiTheme="majorBidi" w:cstheme="majorBidi"/>
          <w:b/>
          <w:bCs/>
          <w:sz w:val="24"/>
          <w:szCs w:val="24"/>
        </w:rPr>
        <w:t>The Tender</w:t>
      </w:r>
      <w:r w:rsidR="00A93433" w:rsidRPr="00336CB6">
        <w:rPr>
          <w:rFonts w:asciiTheme="majorBidi" w:eastAsia="Times New Roman" w:hAnsiTheme="majorBidi" w:cstheme="majorBidi"/>
          <w:sz w:val="24"/>
          <w:szCs w:val="24"/>
        </w:rPr>
        <w:t>").</w:t>
      </w:r>
      <w:r w:rsidRPr="00336CB6">
        <w:rPr>
          <w:rFonts w:asciiTheme="majorBidi" w:eastAsia="Times New Roman" w:hAnsiTheme="majorBidi" w:cstheme="majorBidi"/>
          <w:sz w:val="24"/>
          <w:szCs w:val="24"/>
        </w:rPr>
        <w:t xml:space="preserve">for the government offices, auxiliary units and ancillary bodies </w:t>
      </w:r>
      <w:r w:rsidR="00B0392D">
        <w:rPr>
          <w:rFonts w:asciiTheme="majorBidi" w:eastAsia="Times New Roman" w:hAnsiTheme="majorBidi" w:cstheme="majorBidi"/>
          <w:sz w:val="24"/>
          <w:szCs w:val="24"/>
        </w:rPr>
        <w:t>as detailed in the tender documents.</w:t>
      </w:r>
    </w:p>
    <w:p w14:paraId="53EF3184" w14:textId="387CC405" w:rsidR="00DF1D69" w:rsidRDefault="00D10682" w:rsidP="00DB6B02">
      <w:pPr>
        <w:pStyle w:val="a3"/>
        <w:numPr>
          <w:ilvl w:val="0"/>
          <w:numId w:val="7"/>
        </w:numPr>
        <w:bidi w:val="0"/>
        <w:spacing w:before="120" w:after="120" w:line="360" w:lineRule="auto"/>
        <w:ind w:left="567" w:hanging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 this </w:t>
      </w:r>
      <w:r w:rsidR="00C54DF9">
        <w:rPr>
          <w:rFonts w:asciiTheme="majorBidi" w:hAnsiTheme="majorBidi" w:cstheme="majorBidi"/>
          <w:sz w:val="24"/>
          <w:szCs w:val="24"/>
        </w:rPr>
        <w:t>T</w:t>
      </w:r>
      <w:r>
        <w:rPr>
          <w:rFonts w:asciiTheme="majorBidi" w:hAnsiTheme="majorBidi" w:cstheme="majorBidi"/>
          <w:sz w:val="24"/>
          <w:szCs w:val="24"/>
        </w:rPr>
        <w:t>ender</w:t>
      </w:r>
      <w:r w:rsidR="00C54DF9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a single</w:t>
      </w:r>
      <w:r w:rsidR="00366E3A">
        <w:rPr>
          <w:rFonts w:asciiTheme="majorBidi" w:hAnsiTheme="majorBidi" w:cstheme="majorBidi"/>
          <w:sz w:val="24"/>
          <w:szCs w:val="24"/>
        </w:rPr>
        <w:t xml:space="preserve"> winner will be declared for a contract period of 24 months starting on </w:t>
      </w:r>
      <w:r w:rsidR="00756CBA">
        <w:rPr>
          <w:rFonts w:asciiTheme="majorBidi" w:hAnsiTheme="majorBidi" w:cstheme="majorBidi"/>
          <w:sz w:val="24"/>
          <w:szCs w:val="24"/>
        </w:rPr>
        <w:t>the notice date by the Tender Organizer to the winning su</w:t>
      </w:r>
      <w:r w:rsidR="00C0347D">
        <w:rPr>
          <w:rFonts w:asciiTheme="majorBidi" w:hAnsiTheme="majorBidi" w:cstheme="majorBidi"/>
          <w:sz w:val="24"/>
          <w:szCs w:val="24"/>
        </w:rPr>
        <w:t xml:space="preserve">pplier regarding the beginning of the procurement </w:t>
      </w:r>
      <w:r w:rsidR="00F643BA">
        <w:rPr>
          <w:rFonts w:asciiTheme="majorBidi" w:hAnsiTheme="majorBidi" w:cstheme="majorBidi"/>
          <w:sz w:val="24"/>
          <w:szCs w:val="24"/>
        </w:rPr>
        <w:t>period. This period is extendable by the Tender Organizer</w:t>
      </w:r>
      <w:r w:rsidR="000A71EF">
        <w:rPr>
          <w:rFonts w:asciiTheme="majorBidi" w:hAnsiTheme="majorBidi" w:cstheme="majorBidi"/>
          <w:sz w:val="24"/>
          <w:szCs w:val="24"/>
        </w:rPr>
        <w:t xml:space="preserve"> by </w:t>
      </w:r>
      <w:r w:rsidR="00C54DF9">
        <w:rPr>
          <w:rFonts w:asciiTheme="majorBidi" w:hAnsiTheme="majorBidi" w:cstheme="majorBidi"/>
          <w:sz w:val="24"/>
          <w:szCs w:val="24"/>
        </w:rPr>
        <w:t>several</w:t>
      </w:r>
      <w:r w:rsidR="000A71EF">
        <w:rPr>
          <w:rFonts w:asciiTheme="majorBidi" w:hAnsiTheme="majorBidi" w:cstheme="majorBidi"/>
          <w:sz w:val="24"/>
          <w:szCs w:val="24"/>
        </w:rPr>
        <w:t xml:space="preserve"> periods that will not exceed 36 additional months </w:t>
      </w:r>
      <w:r w:rsidR="007301BD">
        <w:rPr>
          <w:rFonts w:asciiTheme="majorBidi" w:hAnsiTheme="majorBidi" w:cstheme="majorBidi"/>
          <w:sz w:val="24"/>
          <w:szCs w:val="24"/>
        </w:rPr>
        <w:t xml:space="preserve">(A total of up to 60 months) by </w:t>
      </w:r>
      <w:r w:rsidR="00C54DF9">
        <w:rPr>
          <w:rFonts w:asciiTheme="majorBidi" w:hAnsiTheme="majorBidi" w:cstheme="majorBidi"/>
          <w:sz w:val="24"/>
          <w:szCs w:val="24"/>
        </w:rPr>
        <w:t>a</w:t>
      </w:r>
      <w:r w:rsidR="007301BD">
        <w:rPr>
          <w:rFonts w:asciiTheme="majorBidi" w:hAnsiTheme="majorBidi" w:cstheme="majorBidi"/>
          <w:sz w:val="24"/>
          <w:szCs w:val="24"/>
        </w:rPr>
        <w:t xml:space="preserve">dvance notice </w:t>
      </w:r>
      <w:r w:rsidR="00446E63">
        <w:rPr>
          <w:rFonts w:asciiTheme="majorBidi" w:hAnsiTheme="majorBidi" w:cstheme="majorBidi"/>
          <w:sz w:val="24"/>
          <w:szCs w:val="24"/>
        </w:rPr>
        <w:t xml:space="preserve">from the </w:t>
      </w:r>
      <w:r w:rsidR="00C54DF9">
        <w:rPr>
          <w:rFonts w:asciiTheme="majorBidi" w:hAnsiTheme="majorBidi" w:cstheme="majorBidi"/>
          <w:sz w:val="24"/>
          <w:szCs w:val="24"/>
        </w:rPr>
        <w:t>T</w:t>
      </w:r>
      <w:r w:rsidR="00446E63">
        <w:rPr>
          <w:rFonts w:asciiTheme="majorBidi" w:hAnsiTheme="majorBidi" w:cstheme="majorBidi"/>
          <w:sz w:val="24"/>
          <w:szCs w:val="24"/>
        </w:rPr>
        <w:t>ender Organizer before the end of each period.</w:t>
      </w:r>
    </w:p>
    <w:p w14:paraId="2AD48271" w14:textId="2B7512F8" w:rsidR="006D2033" w:rsidRDefault="006D2033" w:rsidP="006D2033">
      <w:pPr>
        <w:pStyle w:val="a3"/>
        <w:numPr>
          <w:ilvl w:val="0"/>
          <w:numId w:val="7"/>
        </w:numPr>
        <w:bidi w:val="0"/>
        <w:spacing w:before="120" w:after="120" w:line="360" w:lineRule="auto"/>
        <w:ind w:left="567" w:hanging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proposals will be submitted following the detail</w:t>
      </w:r>
      <w:r w:rsidR="00903870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in the Tender documents</w:t>
      </w:r>
      <w:r w:rsidR="00BD4756">
        <w:rPr>
          <w:rFonts w:asciiTheme="majorBidi" w:hAnsiTheme="majorBidi" w:cstheme="majorBidi"/>
          <w:sz w:val="24"/>
          <w:szCs w:val="24"/>
        </w:rPr>
        <w:t xml:space="preserve">, together with the price proposals. </w:t>
      </w:r>
      <w:r w:rsidR="00514D53">
        <w:rPr>
          <w:rFonts w:asciiTheme="majorBidi" w:hAnsiTheme="majorBidi" w:cstheme="majorBidi"/>
          <w:sz w:val="24"/>
          <w:szCs w:val="24"/>
        </w:rPr>
        <w:t xml:space="preserve">The Tender Organizer will examine if the proposals meet the Tender </w:t>
      </w:r>
      <w:r w:rsidR="00C83F11">
        <w:rPr>
          <w:rFonts w:asciiTheme="majorBidi" w:hAnsiTheme="majorBidi" w:cstheme="majorBidi"/>
          <w:sz w:val="24"/>
          <w:szCs w:val="24"/>
        </w:rPr>
        <w:t xml:space="preserve">conditions, including the prerequisites. </w:t>
      </w:r>
      <w:r w:rsidR="000D6B60">
        <w:rPr>
          <w:rFonts w:asciiTheme="majorBidi" w:hAnsiTheme="majorBidi" w:cstheme="majorBidi"/>
          <w:sz w:val="24"/>
          <w:szCs w:val="24"/>
        </w:rPr>
        <w:t xml:space="preserve">The </w:t>
      </w:r>
      <w:r w:rsidR="00903870">
        <w:rPr>
          <w:rFonts w:asciiTheme="majorBidi" w:hAnsiTheme="majorBidi" w:cstheme="majorBidi"/>
          <w:sz w:val="24"/>
          <w:szCs w:val="24"/>
        </w:rPr>
        <w:t>bids</w:t>
      </w:r>
      <w:r w:rsidR="000D6B60">
        <w:rPr>
          <w:rFonts w:asciiTheme="majorBidi" w:hAnsiTheme="majorBidi" w:cstheme="majorBidi"/>
          <w:sz w:val="24"/>
          <w:szCs w:val="24"/>
        </w:rPr>
        <w:t xml:space="preserve"> that meet the prerequisites</w:t>
      </w:r>
      <w:r w:rsidR="00CE589D">
        <w:rPr>
          <w:rFonts w:asciiTheme="majorBidi" w:hAnsiTheme="majorBidi" w:cstheme="majorBidi"/>
          <w:sz w:val="24"/>
          <w:szCs w:val="24"/>
        </w:rPr>
        <w:t xml:space="preserve"> will be graded based on the weighted discount </w:t>
      </w:r>
      <w:r w:rsidR="00A40268">
        <w:rPr>
          <w:rFonts w:asciiTheme="majorBidi" w:hAnsiTheme="majorBidi" w:cstheme="majorBidi"/>
          <w:sz w:val="24"/>
          <w:szCs w:val="24"/>
        </w:rPr>
        <w:t xml:space="preserve">percentage, from the high to the low. The winning proposal </w:t>
      </w:r>
      <w:r w:rsidR="009924F8">
        <w:rPr>
          <w:rFonts w:asciiTheme="majorBidi" w:hAnsiTheme="majorBidi" w:cstheme="majorBidi"/>
          <w:sz w:val="24"/>
          <w:szCs w:val="24"/>
        </w:rPr>
        <w:t>will be selected following its grading</w:t>
      </w:r>
      <w:r w:rsidR="00903870">
        <w:rPr>
          <w:rFonts w:asciiTheme="majorBidi" w:hAnsiTheme="majorBidi" w:cstheme="majorBidi"/>
          <w:sz w:val="24"/>
          <w:szCs w:val="24"/>
        </w:rPr>
        <w:t xml:space="preserve"> and according to the details in the Tender documents. </w:t>
      </w:r>
    </w:p>
    <w:p w14:paraId="5A6A3806" w14:textId="50B7D4B0" w:rsidR="00EB1EFC" w:rsidRDefault="008D6B5C" w:rsidP="00EB1EFC">
      <w:pPr>
        <w:pStyle w:val="a3"/>
        <w:numPr>
          <w:ilvl w:val="0"/>
          <w:numId w:val="7"/>
        </w:numPr>
        <w:bidi w:val="0"/>
        <w:spacing w:before="120" w:after="120" w:line="360" w:lineRule="auto"/>
        <w:ind w:left="567" w:hanging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  <w:u w:val="single"/>
        </w:rPr>
        <w:t>Prerequisites for participation in the Tender:</w:t>
      </w:r>
    </w:p>
    <w:p w14:paraId="7BEF3041" w14:textId="77777777" w:rsidR="008F4A10" w:rsidRPr="008F4A10" w:rsidRDefault="008F4A10" w:rsidP="008F4A10">
      <w:pPr>
        <w:pStyle w:val="a3"/>
        <w:numPr>
          <w:ilvl w:val="1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 w:rsidRPr="008F4A10">
        <w:rPr>
          <w:rFonts w:asciiTheme="majorBidi" w:hAnsiTheme="majorBidi" w:cstheme="majorBidi"/>
          <w:sz w:val="24"/>
          <w:szCs w:val="24"/>
        </w:rPr>
        <w:t xml:space="preserve">Entitled to participate in the Tender is a bidder who on the last day for proposals submission, meets the following prerequisites: </w:t>
      </w:r>
    </w:p>
    <w:p w14:paraId="7D5E6CD3" w14:textId="4FC3113D" w:rsidR="008F4A10" w:rsidRDefault="0022200F" w:rsidP="008F4A10">
      <w:pPr>
        <w:pStyle w:val="a3"/>
        <w:numPr>
          <w:ilvl w:val="1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Proof of meeting the prerequisites will be </w:t>
      </w:r>
      <w:r w:rsidR="00B35090">
        <w:rPr>
          <w:rFonts w:asciiTheme="majorBidi" w:hAnsiTheme="majorBidi" w:cstheme="majorBidi"/>
          <w:sz w:val="24"/>
          <w:szCs w:val="24"/>
        </w:rPr>
        <w:t xml:space="preserve">per the instructions in the proposal </w:t>
      </w:r>
      <w:r w:rsidR="001B1A7E">
        <w:rPr>
          <w:rFonts w:asciiTheme="majorBidi" w:hAnsiTheme="majorBidi" w:cstheme="majorBidi"/>
          <w:sz w:val="24"/>
          <w:szCs w:val="24"/>
        </w:rPr>
        <w:t>brochure</w:t>
      </w:r>
      <w:r w:rsidR="00322B5A">
        <w:rPr>
          <w:rFonts w:asciiTheme="majorBidi" w:hAnsiTheme="majorBidi" w:cstheme="majorBidi"/>
          <w:sz w:val="24"/>
          <w:szCs w:val="24"/>
        </w:rPr>
        <w:t>.</w:t>
      </w:r>
    </w:p>
    <w:p w14:paraId="0A8CF87E" w14:textId="48A7385F" w:rsidR="00322B5A" w:rsidRDefault="00322B5A" w:rsidP="00322B5A">
      <w:pPr>
        <w:pStyle w:val="a3"/>
        <w:numPr>
          <w:ilvl w:val="1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  <w:u w:val="single"/>
        </w:rPr>
        <w:t>Administrative preconditions</w:t>
      </w:r>
      <w:r w:rsidR="003B797B">
        <w:rPr>
          <w:rFonts w:asciiTheme="majorBidi" w:hAnsiTheme="majorBidi" w:cstheme="majorBidi"/>
          <w:sz w:val="24"/>
          <w:szCs w:val="24"/>
          <w:u w:val="single"/>
        </w:rPr>
        <w:t>:</w:t>
      </w:r>
    </w:p>
    <w:p w14:paraId="61EF1E8A" w14:textId="77777777" w:rsidR="00355BB2" w:rsidRDefault="00355BB2" w:rsidP="003B797B">
      <w:pPr>
        <w:pStyle w:val="a3"/>
        <w:numPr>
          <w:ilvl w:val="2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Suppose the bidder is subject to registration duty in Israel. In that case</w:t>
      </w:r>
      <w:r w:rsidR="00F90C77">
        <w:rPr>
          <w:rFonts w:asciiTheme="majorBidi" w:hAnsiTheme="majorBidi" w:cstheme="majorBidi"/>
          <w:sz w:val="24"/>
          <w:szCs w:val="24"/>
        </w:rPr>
        <w:t xml:space="preserve">, the bidder is lawfully registered </w:t>
      </w:r>
      <w:r w:rsidR="005679FE">
        <w:rPr>
          <w:rFonts w:asciiTheme="majorBidi" w:hAnsiTheme="majorBidi" w:cstheme="majorBidi"/>
          <w:sz w:val="24"/>
          <w:szCs w:val="24"/>
        </w:rPr>
        <w:t xml:space="preserve">on the relevant registry </w:t>
      </w:r>
      <w:r w:rsidR="00440270">
        <w:rPr>
          <w:rFonts w:asciiTheme="majorBidi" w:hAnsiTheme="majorBidi" w:cstheme="majorBidi"/>
          <w:sz w:val="24"/>
          <w:szCs w:val="24"/>
        </w:rPr>
        <w:t xml:space="preserve">(as an illustration: a bidder that is an Israeli company </w:t>
      </w:r>
      <w:r w:rsidR="003E7DFE">
        <w:rPr>
          <w:rFonts w:asciiTheme="majorBidi" w:hAnsiTheme="majorBidi" w:cstheme="majorBidi"/>
          <w:sz w:val="24"/>
          <w:szCs w:val="24"/>
        </w:rPr>
        <w:t>must appear on the registry of the Registrar of Com</w:t>
      </w:r>
      <w:r>
        <w:rPr>
          <w:rFonts w:asciiTheme="majorBidi" w:hAnsiTheme="majorBidi" w:cstheme="majorBidi"/>
          <w:sz w:val="24"/>
          <w:szCs w:val="24"/>
        </w:rPr>
        <w:t>panies).</w:t>
      </w:r>
    </w:p>
    <w:p w14:paraId="50B7A33C" w14:textId="427B5E41" w:rsidR="0028219F" w:rsidRDefault="002C4E6F" w:rsidP="00355BB2">
      <w:pPr>
        <w:pStyle w:val="a3"/>
        <w:numPr>
          <w:ilvl w:val="2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bidder undertakes that all </w:t>
      </w:r>
      <w:r w:rsidR="00681414">
        <w:rPr>
          <w:rFonts w:asciiTheme="majorBidi" w:hAnsiTheme="majorBidi" w:cstheme="majorBidi"/>
          <w:sz w:val="24"/>
          <w:szCs w:val="24"/>
        </w:rPr>
        <w:t xml:space="preserve">items and services </w:t>
      </w:r>
      <w:r>
        <w:rPr>
          <w:rFonts w:asciiTheme="majorBidi" w:hAnsiTheme="majorBidi" w:cstheme="majorBidi"/>
          <w:sz w:val="24"/>
          <w:szCs w:val="24"/>
        </w:rPr>
        <w:t>proposed</w:t>
      </w:r>
      <w:r w:rsidR="00F837E1">
        <w:rPr>
          <w:rFonts w:asciiTheme="majorBidi" w:hAnsiTheme="majorBidi" w:cstheme="majorBidi"/>
          <w:sz w:val="24"/>
          <w:szCs w:val="24"/>
        </w:rPr>
        <w:t xml:space="preserve"> by him meet the licensing </w:t>
      </w:r>
      <w:r w:rsidR="00681414">
        <w:rPr>
          <w:rFonts w:asciiTheme="majorBidi" w:hAnsiTheme="majorBidi" w:cstheme="majorBidi"/>
          <w:sz w:val="24"/>
          <w:szCs w:val="24"/>
        </w:rPr>
        <w:t xml:space="preserve">and standards </w:t>
      </w:r>
      <w:r w:rsidR="0028219F">
        <w:rPr>
          <w:rFonts w:asciiTheme="majorBidi" w:hAnsiTheme="majorBidi" w:cstheme="majorBidi"/>
          <w:sz w:val="24"/>
          <w:szCs w:val="24"/>
        </w:rPr>
        <w:t xml:space="preserve">required under the law to supply the items and services. </w:t>
      </w:r>
    </w:p>
    <w:p w14:paraId="427BF17C" w14:textId="14BFBCB2" w:rsidR="003B797B" w:rsidRDefault="00C966D6" w:rsidP="0028219F">
      <w:pPr>
        <w:pStyle w:val="a3"/>
        <w:numPr>
          <w:ilvl w:val="2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The bidder meets </w:t>
      </w:r>
      <w:r w:rsidR="00FB3F58">
        <w:rPr>
          <w:rFonts w:asciiTheme="majorBidi" w:hAnsiTheme="majorBidi" w:cstheme="majorBidi"/>
          <w:sz w:val="24"/>
          <w:szCs w:val="24"/>
        </w:rPr>
        <w:t xml:space="preserve">the requirements of </w:t>
      </w:r>
      <w:r w:rsidR="00FA7207">
        <w:rPr>
          <w:rFonts w:asciiTheme="majorBidi" w:hAnsiTheme="majorBidi" w:cstheme="majorBidi"/>
          <w:sz w:val="24"/>
          <w:szCs w:val="24"/>
        </w:rPr>
        <w:t xml:space="preserve">the </w:t>
      </w:r>
      <w:r w:rsidR="00FB3F58">
        <w:rPr>
          <w:rFonts w:asciiTheme="majorBidi" w:hAnsiTheme="majorBidi" w:cstheme="majorBidi"/>
          <w:sz w:val="24"/>
          <w:szCs w:val="24"/>
        </w:rPr>
        <w:t xml:space="preserve">Public Bodies </w:t>
      </w:r>
      <w:r w:rsidR="00FA7207">
        <w:rPr>
          <w:rFonts w:asciiTheme="majorBidi" w:hAnsiTheme="majorBidi" w:cstheme="majorBidi"/>
          <w:sz w:val="24"/>
          <w:szCs w:val="24"/>
        </w:rPr>
        <w:t xml:space="preserve">Transactions Law, 5736 – 1976 (hereinafter: </w:t>
      </w:r>
      <w:r w:rsidR="00665CF3">
        <w:rPr>
          <w:rFonts w:asciiTheme="majorBidi" w:hAnsiTheme="majorBidi" w:cstheme="majorBidi"/>
          <w:b/>
          <w:bCs/>
          <w:sz w:val="24"/>
          <w:szCs w:val="24"/>
        </w:rPr>
        <w:t>"Public Bodies Transactions Law</w:t>
      </w:r>
      <w:r w:rsidR="00665CF3">
        <w:rPr>
          <w:rFonts w:asciiTheme="majorBidi" w:hAnsiTheme="majorBidi" w:cstheme="majorBidi"/>
          <w:sz w:val="24"/>
          <w:szCs w:val="24"/>
        </w:rPr>
        <w:t>).</w:t>
      </w:r>
    </w:p>
    <w:p w14:paraId="792AF990" w14:textId="6355C378" w:rsidR="00750769" w:rsidRDefault="00750769" w:rsidP="00750769">
      <w:pPr>
        <w:pStyle w:val="a3"/>
        <w:numPr>
          <w:ilvl w:val="2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bidder</w:t>
      </w:r>
      <w:r w:rsidR="00E82EAB">
        <w:rPr>
          <w:rFonts w:asciiTheme="majorBidi" w:hAnsiTheme="majorBidi" w:cstheme="majorBidi"/>
          <w:sz w:val="24"/>
          <w:szCs w:val="24"/>
        </w:rPr>
        <w:t>'</w:t>
      </w:r>
      <w:r>
        <w:rPr>
          <w:rFonts w:asciiTheme="majorBidi" w:hAnsiTheme="majorBidi" w:cstheme="majorBidi"/>
          <w:sz w:val="24"/>
          <w:szCs w:val="24"/>
        </w:rPr>
        <w:t>s representatives wi</w:t>
      </w:r>
      <w:r w:rsidR="00E82EAB">
        <w:rPr>
          <w:rFonts w:asciiTheme="majorBidi" w:hAnsiTheme="majorBidi" w:cstheme="majorBidi"/>
          <w:sz w:val="24"/>
          <w:szCs w:val="24"/>
        </w:rPr>
        <w:t>l</w:t>
      </w:r>
      <w:r>
        <w:rPr>
          <w:rFonts w:asciiTheme="majorBidi" w:hAnsiTheme="majorBidi" w:cstheme="majorBidi"/>
          <w:sz w:val="24"/>
          <w:szCs w:val="24"/>
        </w:rPr>
        <w:t>l participate in the bidders</w:t>
      </w:r>
      <w:r w:rsidR="00E82EAB">
        <w:rPr>
          <w:rFonts w:asciiTheme="majorBidi" w:hAnsiTheme="majorBidi" w:cstheme="majorBidi"/>
          <w:sz w:val="24"/>
          <w:szCs w:val="24"/>
        </w:rPr>
        <w:t>'</w:t>
      </w:r>
      <w:r>
        <w:rPr>
          <w:rFonts w:asciiTheme="majorBidi" w:hAnsiTheme="majorBidi" w:cstheme="majorBidi"/>
          <w:sz w:val="24"/>
          <w:szCs w:val="24"/>
        </w:rPr>
        <w:t xml:space="preserve"> conference</w:t>
      </w:r>
      <w:r w:rsidR="00E82EAB">
        <w:rPr>
          <w:rFonts w:asciiTheme="majorBidi" w:hAnsiTheme="majorBidi" w:cstheme="majorBidi"/>
          <w:sz w:val="24"/>
          <w:szCs w:val="24"/>
        </w:rPr>
        <w:t xml:space="preserve">, as detailed in the </w:t>
      </w:r>
      <w:r w:rsidR="004358A8">
        <w:rPr>
          <w:rFonts w:asciiTheme="majorBidi" w:hAnsiTheme="majorBidi" w:cstheme="majorBidi"/>
          <w:sz w:val="24"/>
          <w:szCs w:val="24"/>
        </w:rPr>
        <w:t>Tender documents.</w:t>
      </w:r>
    </w:p>
    <w:p w14:paraId="58D9865A" w14:textId="4AB67171" w:rsidR="004358A8" w:rsidRDefault="004358A8" w:rsidP="004358A8">
      <w:pPr>
        <w:pStyle w:val="a3"/>
        <w:numPr>
          <w:ilvl w:val="2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Industrial </w:t>
      </w:r>
      <w:r w:rsidR="00B350E2">
        <w:rPr>
          <w:rFonts w:asciiTheme="majorBidi" w:hAnsiTheme="majorBidi" w:cstheme="majorBidi"/>
          <w:sz w:val="24"/>
          <w:szCs w:val="24"/>
        </w:rPr>
        <w:t>cooperation duty – the bidder undertakes to maintain industr</w:t>
      </w:r>
      <w:r w:rsidR="007521AD">
        <w:rPr>
          <w:rFonts w:asciiTheme="majorBidi" w:hAnsiTheme="majorBidi" w:cstheme="majorBidi"/>
          <w:sz w:val="24"/>
          <w:szCs w:val="24"/>
        </w:rPr>
        <w:t>ia</w:t>
      </w:r>
      <w:r w:rsidR="00B350E2">
        <w:rPr>
          <w:rFonts w:asciiTheme="majorBidi" w:hAnsiTheme="majorBidi" w:cstheme="majorBidi"/>
          <w:sz w:val="24"/>
          <w:szCs w:val="24"/>
        </w:rPr>
        <w:t xml:space="preserve">l </w:t>
      </w:r>
      <w:r w:rsidR="007521AD">
        <w:rPr>
          <w:rFonts w:asciiTheme="majorBidi" w:hAnsiTheme="majorBidi" w:cstheme="majorBidi"/>
          <w:sz w:val="24"/>
          <w:szCs w:val="24"/>
        </w:rPr>
        <w:t>cooperation under the Tenders Duty Regulations (</w:t>
      </w:r>
      <w:r w:rsidR="00011CD7">
        <w:rPr>
          <w:rFonts w:asciiTheme="majorBidi" w:hAnsiTheme="majorBidi" w:cstheme="majorBidi"/>
          <w:sz w:val="24"/>
          <w:szCs w:val="24"/>
        </w:rPr>
        <w:t xml:space="preserve">Industrial Cooperation Duty), </w:t>
      </w:r>
      <w:r w:rsidR="00B51D88">
        <w:rPr>
          <w:rFonts w:asciiTheme="majorBidi" w:hAnsiTheme="majorBidi" w:cstheme="majorBidi"/>
          <w:sz w:val="24"/>
          <w:szCs w:val="24"/>
        </w:rPr>
        <w:t xml:space="preserve">5767 – 2007. </w:t>
      </w:r>
    </w:p>
    <w:p w14:paraId="0A92FB0C" w14:textId="47BF6B16" w:rsidR="00B51D88" w:rsidRDefault="00452259" w:rsidP="00B51D88">
      <w:pPr>
        <w:pStyle w:val="a3"/>
        <w:numPr>
          <w:ilvl w:val="1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Standing in</w:t>
      </w:r>
      <w:r w:rsidR="006E014F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the</w:t>
      </w:r>
      <w:r w:rsidR="00B53761">
        <w:rPr>
          <w:rFonts w:asciiTheme="majorBidi" w:hAnsiTheme="majorBidi" w:cstheme="majorBidi"/>
          <w:sz w:val="24"/>
          <w:szCs w:val="24"/>
        </w:rPr>
        <w:t xml:space="preserve"> </w:t>
      </w:r>
      <w:r w:rsidR="006E014F">
        <w:rPr>
          <w:rFonts w:asciiTheme="majorBidi" w:hAnsiTheme="majorBidi" w:cstheme="majorBidi"/>
          <w:sz w:val="24"/>
          <w:szCs w:val="24"/>
        </w:rPr>
        <w:t>professional prerequisites as detailed in the Tender documents</w:t>
      </w:r>
      <w:r w:rsidR="00B53761">
        <w:rPr>
          <w:rFonts w:asciiTheme="majorBidi" w:hAnsiTheme="majorBidi" w:cstheme="majorBidi"/>
          <w:sz w:val="24"/>
          <w:szCs w:val="24"/>
        </w:rPr>
        <w:t>.</w:t>
      </w:r>
    </w:p>
    <w:p w14:paraId="71F5C18E" w14:textId="460858BB" w:rsidR="00B53761" w:rsidRDefault="00A90064" w:rsidP="00B53761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Tender organizer, at his in</w:t>
      </w:r>
      <w:r w:rsidR="0030789C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>tiative and his exclusive discretion</w:t>
      </w:r>
      <w:r w:rsidR="00B41A6B">
        <w:rPr>
          <w:rFonts w:asciiTheme="majorBidi" w:hAnsiTheme="majorBidi" w:cstheme="majorBidi"/>
          <w:sz w:val="24"/>
          <w:szCs w:val="24"/>
        </w:rPr>
        <w:t xml:space="preserve">, is entitled to cancel the Tender, </w:t>
      </w:r>
      <w:r w:rsidR="00853268">
        <w:rPr>
          <w:rFonts w:asciiTheme="majorBidi" w:hAnsiTheme="majorBidi" w:cstheme="majorBidi"/>
          <w:sz w:val="24"/>
          <w:szCs w:val="24"/>
        </w:rPr>
        <w:t xml:space="preserve">alter it and update it, including the dates stated </w:t>
      </w:r>
      <w:r w:rsidR="0030789C">
        <w:rPr>
          <w:rFonts w:asciiTheme="majorBidi" w:hAnsiTheme="majorBidi" w:cstheme="majorBidi"/>
          <w:sz w:val="24"/>
          <w:szCs w:val="24"/>
        </w:rPr>
        <w:t xml:space="preserve">in it and the publication of clarifications of the said in it. </w:t>
      </w:r>
    </w:p>
    <w:p w14:paraId="159092ED" w14:textId="3F5F1092" w:rsidR="00B04BB6" w:rsidRDefault="000173B2" w:rsidP="000173B2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Changes</w:t>
      </w:r>
      <w:r w:rsidR="00ED4218">
        <w:rPr>
          <w:rFonts w:asciiTheme="majorBidi" w:hAnsiTheme="majorBidi" w:cstheme="majorBidi"/>
          <w:sz w:val="24"/>
          <w:szCs w:val="24"/>
        </w:rPr>
        <w:t>, as stated,</w:t>
      </w:r>
      <w:r>
        <w:rPr>
          <w:rFonts w:asciiTheme="majorBidi" w:hAnsiTheme="majorBidi" w:cstheme="majorBidi"/>
          <w:sz w:val="24"/>
          <w:szCs w:val="24"/>
        </w:rPr>
        <w:t xml:space="preserve"> will be published</w:t>
      </w:r>
      <w:r w:rsidR="002B02BC">
        <w:rPr>
          <w:rFonts w:asciiTheme="majorBidi" w:hAnsiTheme="majorBidi" w:cstheme="majorBidi"/>
          <w:sz w:val="24"/>
          <w:szCs w:val="24"/>
        </w:rPr>
        <w:t xml:space="preserve"> on the Tender page on the internet website. </w:t>
      </w:r>
      <w:r w:rsidR="00ED4218">
        <w:rPr>
          <w:rFonts w:asciiTheme="majorBidi" w:hAnsiTheme="majorBidi" w:cstheme="majorBidi"/>
          <w:sz w:val="24"/>
          <w:szCs w:val="24"/>
        </w:rPr>
        <w:t xml:space="preserve">The </w:t>
      </w:r>
      <w:r w:rsidR="00625341">
        <w:rPr>
          <w:rFonts w:asciiTheme="majorBidi" w:hAnsiTheme="majorBidi" w:cstheme="majorBidi"/>
          <w:sz w:val="24"/>
          <w:szCs w:val="24"/>
        </w:rPr>
        <w:t>b</w:t>
      </w:r>
      <w:r w:rsidR="00ED4218">
        <w:rPr>
          <w:rFonts w:asciiTheme="majorBidi" w:hAnsiTheme="majorBidi" w:cstheme="majorBidi"/>
          <w:sz w:val="24"/>
          <w:szCs w:val="24"/>
        </w:rPr>
        <w:t xml:space="preserve">idder is responsible </w:t>
      </w:r>
      <w:r w:rsidR="00B04BB6">
        <w:rPr>
          <w:rFonts w:asciiTheme="majorBidi" w:hAnsiTheme="majorBidi" w:cstheme="majorBidi"/>
          <w:sz w:val="24"/>
          <w:szCs w:val="24"/>
        </w:rPr>
        <w:t>for independently updating himself with notices and updates</w:t>
      </w:r>
      <w:r w:rsidR="00CA061E">
        <w:rPr>
          <w:rFonts w:asciiTheme="majorBidi" w:hAnsiTheme="majorBidi" w:cstheme="majorBidi"/>
          <w:sz w:val="24"/>
          <w:szCs w:val="24"/>
        </w:rPr>
        <w:t xml:space="preserve"> published as stated regarding this Tender. </w:t>
      </w:r>
    </w:p>
    <w:p w14:paraId="2DF0E122" w14:textId="77777777" w:rsidR="00B46D1A" w:rsidRDefault="00F0773E" w:rsidP="00B04BB6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engagement with the Tender winner is subject to the existence of an available budget. </w:t>
      </w:r>
      <w:r w:rsidR="007513F1">
        <w:rPr>
          <w:rFonts w:asciiTheme="majorBidi" w:hAnsiTheme="majorBidi" w:cstheme="majorBidi"/>
          <w:sz w:val="24"/>
          <w:szCs w:val="24"/>
        </w:rPr>
        <w:t xml:space="preserve">If </w:t>
      </w:r>
      <w:r w:rsidR="009065C6">
        <w:rPr>
          <w:rFonts w:asciiTheme="majorBidi" w:hAnsiTheme="majorBidi" w:cstheme="majorBidi"/>
          <w:sz w:val="24"/>
          <w:szCs w:val="24"/>
        </w:rPr>
        <w:t xml:space="preserve">it is impossible to engage with the Tender winner for budgetary reasons, the Tender organizer is entitled to cancel the Tender. </w:t>
      </w:r>
    </w:p>
    <w:p w14:paraId="4F818375" w14:textId="77777777" w:rsidR="00282B1E" w:rsidRDefault="00B46D1A" w:rsidP="00B46D1A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Tender organizer will not be obligated to compensate the bidders</w:t>
      </w:r>
      <w:r w:rsidR="00282B1E">
        <w:rPr>
          <w:rFonts w:asciiTheme="majorBidi" w:hAnsiTheme="majorBidi" w:cstheme="majorBidi"/>
          <w:sz w:val="24"/>
          <w:szCs w:val="24"/>
        </w:rPr>
        <w:t xml:space="preserve"> in the event of the Tender cancellation.</w:t>
      </w:r>
    </w:p>
    <w:p w14:paraId="48F6C3CF" w14:textId="4246B3EA" w:rsidR="000173B2" w:rsidRDefault="00282B1E" w:rsidP="00282B1E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Tender documents can be downloaded </w:t>
      </w:r>
      <w:r w:rsidR="00660159">
        <w:rPr>
          <w:rFonts w:asciiTheme="majorBidi" w:hAnsiTheme="majorBidi" w:cstheme="majorBidi"/>
          <w:sz w:val="24"/>
          <w:szCs w:val="24"/>
        </w:rPr>
        <w:t>f</w:t>
      </w:r>
      <w:r>
        <w:rPr>
          <w:rFonts w:asciiTheme="majorBidi" w:hAnsiTheme="majorBidi" w:cstheme="majorBidi"/>
          <w:sz w:val="24"/>
          <w:szCs w:val="24"/>
        </w:rPr>
        <w:t>ree of charge</w:t>
      </w:r>
      <w:r w:rsidR="00660159">
        <w:rPr>
          <w:rFonts w:asciiTheme="majorBidi" w:hAnsiTheme="majorBidi" w:cstheme="majorBidi"/>
          <w:sz w:val="24"/>
          <w:szCs w:val="24"/>
        </w:rPr>
        <w:t xml:space="preserve"> from the website of the Government Procurements </w:t>
      </w:r>
      <w:r w:rsidR="00107C54">
        <w:rPr>
          <w:rFonts w:asciiTheme="majorBidi" w:hAnsiTheme="majorBidi" w:cstheme="majorBidi"/>
          <w:sz w:val="24"/>
          <w:szCs w:val="24"/>
        </w:rPr>
        <w:t xml:space="preserve">Administration at: </w:t>
      </w:r>
      <w:hyperlink r:id="rId7" w:history="1">
        <w:r w:rsidR="00974CE8" w:rsidRPr="00F96B52">
          <w:rPr>
            <w:rStyle w:val="Hyperlink"/>
            <w:rFonts w:asciiTheme="majorBidi" w:hAnsiTheme="majorBidi" w:cstheme="majorBidi"/>
            <w:sz w:val="24"/>
            <w:szCs w:val="24"/>
          </w:rPr>
          <w:t>http://www.mr.ov.il</w:t>
        </w:r>
      </w:hyperlink>
      <w:r w:rsidR="00974CE8">
        <w:rPr>
          <w:rFonts w:asciiTheme="majorBidi" w:hAnsiTheme="majorBidi" w:cstheme="majorBidi"/>
          <w:sz w:val="24"/>
          <w:szCs w:val="24"/>
        </w:rPr>
        <w:t xml:space="preserve"> </w:t>
      </w:r>
    </w:p>
    <w:p w14:paraId="772BD8E9" w14:textId="1758D3E9" w:rsidR="00974CE8" w:rsidRDefault="00974CE8" w:rsidP="00974CE8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contact person</w:t>
      </w:r>
      <w:r w:rsidR="00E56921">
        <w:rPr>
          <w:rFonts w:asciiTheme="majorBidi" w:hAnsiTheme="majorBidi" w:cstheme="majorBidi"/>
          <w:sz w:val="24"/>
          <w:szCs w:val="24"/>
        </w:rPr>
        <w:t xml:space="preserve"> for the </w:t>
      </w:r>
      <w:r w:rsidR="0047596E">
        <w:rPr>
          <w:rFonts w:asciiTheme="majorBidi" w:hAnsiTheme="majorBidi" w:cstheme="majorBidi"/>
          <w:sz w:val="24"/>
          <w:szCs w:val="24"/>
        </w:rPr>
        <w:t>T</w:t>
      </w:r>
      <w:r w:rsidR="00E56921">
        <w:rPr>
          <w:rFonts w:asciiTheme="majorBidi" w:hAnsiTheme="majorBidi" w:cstheme="majorBidi"/>
          <w:sz w:val="24"/>
          <w:szCs w:val="24"/>
        </w:rPr>
        <w:t xml:space="preserve">ender is Mr. Gilad Talmon. The </w:t>
      </w:r>
      <w:r w:rsidR="0047596E">
        <w:rPr>
          <w:rFonts w:asciiTheme="majorBidi" w:hAnsiTheme="majorBidi" w:cstheme="majorBidi"/>
          <w:sz w:val="24"/>
          <w:szCs w:val="24"/>
        </w:rPr>
        <w:t xml:space="preserve">e-mail address for inquiries about the </w:t>
      </w:r>
      <w:r w:rsidR="00A11D6C">
        <w:rPr>
          <w:rFonts w:asciiTheme="majorBidi" w:hAnsiTheme="majorBidi" w:cstheme="majorBidi"/>
          <w:sz w:val="24"/>
          <w:szCs w:val="24"/>
        </w:rPr>
        <w:t>T</w:t>
      </w:r>
      <w:r w:rsidR="0047596E">
        <w:rPr>
          <w:rFonts w:asciiTheme="majorBidi" w:hAnsiTheme="majorBidi" w:cstheme="majorBidi"/>
          <w:sz w:val="24"/>
          <w:szCs w:val="24"/>
        </w:rPr>
        <w:t xml:space="preserve">ender </w:t>
      </w:r>
      <w:r w:rsidR="00A11D6C">
        <w:rPr>
          <w:rFonts w:asciiTheme="majorBidi" w:hAnsiTheme="majorBidi" w:cstheme="majorBidi"/>
          <w:sz w:val="24"/>
          <w:szCs w:val="24"/>
        </w:rPr>
        <w:t xml:space="preserve">is: </w:t>
      </w:r>
      <w:hyperlink r:id="rId8" w:history="1">
        <w:r w:rsidR="00A11D6C" w:rsidRPr="00F96B52">
          <w:rPr>
            <w:rStyle w:val="Hyperlink"/>
            <w:rFonts w:asciiTheme="majorBidi" w:hAnsiTheme="majorBidi" w:cstheme="majorBidi"/>
            <w:sz w:val="24"/>
            <w:szCs w:val="24"/>
          </w:rPr>
          <w:t>3-2022@mof.gov.il</w:t>
        </w:r>
      </w:hyperlink>
    </w:p>
    <w:p w14:paraId="249D90C8" w14:textId="48068D94" w:rsidR="00A11D6C" w:rsidRDefault="00A858AA" w:rsidP="00A11D6C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Bidders' conference (mandatory)</w:t>
      </w:r>
      <w:r>
        <w:rPr>
          <w:rFonts w:asciiTheme="majorBidi" w:hAnsiTheme="majorBidi" w:cstheme="majorBidi"/>
          <w:sz w:val="24"/>
          <w:szCs w:val="24"/>
        </w:rPr>
        <w:t xml:space="preserve"> will take place on the date that </w:t>
      </w:r>
      <w:r w:rsidR="00194AB2">
        <w:rPr>
          <w:rFonts w:asciiTheme="majorBidi" w:hAnsiTheme="majorBidi" w:cstheme="majorBidi"/>
          <w:sz w:val="24"/>
          <w:szCs w:val="24"/>
        </w:rPr>
        <w:t xml:space="preserve">the Tender organizer will publish on the Tender internet page. </w:t>
      </w:r>
    </w:p>
    <w:p w14:paraId="422C657F" w14:textId="5D617148" w:rsidR="00194AB2" w:rsidRDefault="002147E9" w:rsidP="00194AB2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</w:t>
      </w:r>
      <w:r w:rsidR="00771A5C">
        <w:rPr>
          <w:rFonts w:asciiTheme="majorBidi" w:hAnsiTheme="majorBidi" w:cstheme="majorBidi"/>
          <w:sz w:val="24"/>
          <w:szCs w:val="24"/>
        </w:rPr>
        <w:t xml:space="preserve">Tender Organizer will publish the last date for the submission of </w:t>
      </w:r>
      <w:r w:rsidR="00771A5C" w:rsidRPr="00771A5C">
        <w:rPr>
          <w:rFonts w:asciiTheme="majorBidi" w:hAnsiTheme="majorBidi" w:cstheme="majorBidi"/>
          <w:b/>
          <w:bCs/>
          <w:sz w:val="24"/>
          <w:szCs w:val="24"/>
        </w:rPr>
        <w:t xml:space="preserve">clarification questions </w:t>
      </w:r>
      <w:r w:rsidR="00771A5C">
        <w:rPr>
          <w:rFonts w:asciiTheme="majorBidi" w:hAnsiTheme="majorBidi" w:cstheme="majorBidi"/>
          <w:sz w:val="24"/>
          <w:szCs w:val="24"/>
        </w:rPr>
        <w:t>on the Tender internet page.</w:t>
      </w:r>
    </w:p>
    <w:p w14:paraId="68A8BD7A" w14:textId="32F29BD5" w:rsidR="00771A5C" w:rsidRDefault="00543CD2" w:rsidP="00771A5C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last day for the submission of </w:t>
      </w:r>
      <w:r w:rsidR="00A65F4C">
        <w:rPr>
          <w:rFonts w:asciiTheme="majorBidi" w:hAnsiTheme="majorBidi" w:cstheme="majorBidi"/>
          <w:sz w:val="24"/>
          <w:szCs w:val="24"/>
        </w:rPr>
        <w:t>bids on Monday, 8.8.2022, at 13:00.</w:t>
      </w:r>
    </w:p>
    <w:p w14:paraId="6AAE0D01" w14:textId="167BB2A0" w:rsidR="00A65F4C" w:rsidRDefault="000302E8" w:rsidP="00A65F4C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proposal submissions will be made online through the </w:t>
      </w:r>
      <w:r w:rsidR="00074DDF">
        <w:rPr>
          <w:rFonts w:asciiTheme="majorBidi" w:hAnsiTheme="majorBidi" w:cstheme="majorBidi"/>
          <w:sz w:val="24"/>
          <w:szCs w:val="24"/>
        </w:rPr>
        <w:t xml:space="preserve">proposals submission system. Instructions on how to submit the proposals </w:t>
      </w:r>
      <w:r w:rsidR="00077AE9">
        <w:rPr>
          <w:rFonts w:asciiTheme="majorBidi" w:hAnsiTheme="majorBidi" w:cstheme="majorBidi"/>
          <w:sz w:val="24"/>
          <w:szCs w:val="24"/>
        </w:rPr>
        <w:t xml:space="preserve">are detailed in the Tender documents. </w:t>
      </w:r>
    </w:p>
    <w:p w14:paraId="30E41E29" w14:textId="64DC1800" w:rsidR="00077AE9" w:rsidRDefault="006D4513" w:rsidP="00077AE9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It shall be empha</w:t>
      </w:r>
      <w:r w:rsidR="00931E4B">
        <w:rPr>
          <w:rFonts w:asciiTheme="majorBidi" w:hAnsiTheme="majorBidi" w:cstheme="majorBidi"/>
          <w:sz w:val="24"/>
          <w:szCs w:val="24"/>
        </w:rPr>
        <w:t>sized that in case of incompatibility between the above</w:t>
      </w:r>
      <w:r w:rsidR="00EE7967">
        <w:rPr>
          <w:rFonts w:asciiTheme="majorBidi" w:hAnsiTheme="majorBidi" w:cstheme="majorBidi"/>
          <w:sz w:val="24"/>
          <w:szCs w:val="24"/>
        </w:rPr>
        <w:t>-</w:t>
      </w:r>
      <w:r w:rsidR="00931E4B">
        <w:rPr>
          <w:rFonts w:asciiTheme="majorBidi" w:hAnsiTheme="majorBidi" w:cstheme="majorBidi"/>
          <w:sz w:val="24"/>
          <w:szCs w:val="24"/>
        </w:rPr>
        <w:t>detailed conditions</w:t>
      </w:r>
      <w:r w:rsidR="00EE7967">
        <w:rPr>
          <w:rFonts w:asciiTheme="majorBidi" w:hAnsiTheme="majorBidi" w:cstheme="majorBidi"/>
          <w:sz w:val="24"/>
          <w:szCs w:val="24"/>
        </w:rPr>
        <w:t xml:space="preserve"> and the stated in the Tender documents, the Tender documents shall prevail. </w:t>
      </w:r>
    </w:p>
    <w:p w14:paraId="6D749A47" w14:textId="77777777" w:rsidR="00EE7967" w:rsidRDefault="00EE7967" w:rsidP="00EE7967">
      <w:pPr>
        <w:pStyle w:val="a3"/>
        <w:numPr>
          <w:ilvl w:val="0"/>
          <w:numId w:val="7"/>
        </w:numPr>
        <w:bidi w:val="0"/>
        <w:spacing w:before="120" w:after="120" w:line="360" w:lineRule="auto"/>
        <w:rPr>
          <w:rFonts w:asciiTheme="majorBidi" w:hAnsiTheme="majorBidi" w:cstheme="majorBidi"/>
          <w:sz w:val="24"/>
          <w:szCs w:val="24"/>
        </w:rPr>
      </w:pPr>
    </w:p>
    <w:sectPr w:rsidR="00EE7967" w:rsidSect="005D7839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D007F" w14:textId="77777777" w:rsidR="00742EA0" w:rsidRDefault="00742EA0">
      <w:pPr>
        <w:spacing w:after="0" w:line="240" w:lineRule="auto"/>
      </w:pPr>
      <w:r>
        <w:separator/>
      </w:r>
    </w:p>
  </w:endnote>
  <w:endnote w:type="continuationSeparator" w:id="0">
    <w:p w14:paraId="09234F1F" w14:textId="77777777" w:rsidR="00742EA0" w:rsidRDefault="00742E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F7C98D" w14:textId="575BBE9A" w:rsidR="003C401D" w:rsidRDefault="003C401D" w:rsidP="005D7839">
            <w:pPr>
              <w:pStyle w:val="a7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586142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586142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3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B103F2" w14:textId="77777777" w:rsidR="00742EA0" w:rsidRDefault="00742EA0">
      <w:pPr>
        <w:spacing w:after="0" w:line="240" w:lineRule="auto"/>
      </w:pPr>
      <w:r>
        <w:separator/>
      </w:r>
    </w:p>
  </w:footnote>
  <w:footnote w:type="continuationSeparator" w:id="0">
    <w:p w14:paraId="1FC879A5" w14:textId="77777777" w:rsidR="00742EA0" w:rsidRDefault="00742E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A463B" w14:textId="4458A5A3" w:rsidR="00360FAC" w:rsidRDefault="006D092F" w:rsidP="00360FAC">
    <w:pPr>
      <w:pStyle w:val="a5"/>
      <w:bidi w:val="0"/>
      <w:jc w:val="center"/>
      <w:rPr>
        <w:rFonts w:asciiTheme="majorBidi" w:hAnsiTheme="majorBidi" w:cstheme="majorBidi"/>
        <w:b/>
        <w:bCs/>
        <w:sz w:val="36"/>
        <w:szCs w:val="56"/>
      </w:rPr>
    </w:pPr>
    <w:r w:rsidRPr="00360FAC">
      <w:rPr>
        <w:rFonts w:asciiTheme="majorBidi" w:hAnsiTheme="majorBidi" w:cstheme="majorBidi"/>
        <w:noProof/>
      </w:rPr>
      <w:drawing>
        <wp:anchor distT="0" distB="0" distL="114300" distR="114300" simplePos="0" relativeHeight="251659264" behindDoc="1" locked="0" layoutInCell="1" allowOverlap="1" wp14:anchorId="2A00ECA7" wp14:editId="6DFE95C2">
          <wp:simplePos x="0" y="0"/>
          <wp:positionH relativeFrom="margin">
            <wp:posOffset>-239755</wp:posOffset>
          </wp:positionH>
          <wp:positionV relativeFrom="paragraph">
            <wp:posOffset>27675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531">
      <w:rPr>
        <w:rFonts w:asciiTheme="majorBidi" w:hAnsiTheme="majorBidi" w:cstheme="majorBidi"/>
        <w:b/>
        <w:bCs/>
        <w:sz w:val="36"/>
        <w:szCs w:val="56"/>
      </w:rPr>
      <w:t>State of Israel</w:t>
    </w:r>
  </w:p>
  <w:p w14:paraId="436FE5C2" w14:textId="6FE73BEE" w:rsidR="00B41531" w:rsidRDefault="00B41531" w:rsidP="00B41531">
    <w:pPr>
      <w:pStyle w:val="a5"/>
      <w:bidi w:val="0"/>
      <w:jc w:val="center"/>
      <w:rPr>
        <w:rFonts w:asciiTheme="majorBidi" w:hAnsiTheme="majorBidi" w:cstheme="majorBidi"/>
        <w:b/>
        <w:bCs/>
        <w:sz w:val="28"/>
        <w:szCs w:val="48"/>
      </w:rPr>
    </w:pPr>
    <w:r>
      <w:rPr>
        <w:rFonts w:asciiTheme="majorBidi" w:hAnsiTheme="majorBidi" w:cstheme="majorBidi"/>
        <w:b/>
        <w:bCs/>
        <w:sz w:val="28"/>
        <w:szCs w:val="48"/>
      </w:rPr>
      <w:t>Ministry of Finance</w:t>
    </w:r>
  </w:p>
  <w:p w14:paraId="3D5187D4" w14:textId="78C13A01" w:rsidR="00B41531" w:rsidRPr="00B41531" w:rsidRDefault="007B6548" w:rsidP="00B41531">
    <w:pPr>
      <w:pStyle w:val="a5"/>
      <w:bidi w:val="0"/>
      <w:jc w:val="center"/>
      <w:rPr>
        <w:rFonts w:asciiTheme="majorBidi" w:hAnsiTheme="majorBidi" w:cstheme="majorBidi"/>
        <w:b/>
        <w:bCs/>
        <w:szCs w:val="40"/>
      </w:rPr>
    </w:pPr>
    <w:r>
      <w:rPr>
        <w:rFonts w:asciiTheme="majorBidi" w:hAnsiTheme="majorBidi" w:cstheme="majorBidi"/>
        <w:b/>
        <w:bCs/>
        <w:szCs w:val="40"/>
      </w:rPr>
      <w:t>Government Procurement Administration</w:t>
    </w:r>
  </w:p>
  <w:p w14:paraId="6703BDC0" w14:textId="0C4814F5" w:rsidR="003C401D" w:rsidRDefault="003C401D" w:rsidP="007B6548">
    <w:pPr>
      <w:pStyle w:val="a5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423DB"/>
    <w:multiLevelType w:val="multilevel"/>
    <w:tmpl w:val="68B210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0031B70"/>
    <w:multiLevelType w:val="hybridMultilevel"/>
    <w:tmpl w:val="155A8B4E"/>
    <w:lvl w:ilvl="0" w:tplc="3E3E1A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E0A1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DFF12FC"/>
    <w:multiLevelType w:val="multilevel"/>
    <w:tmpl w:val="199A79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101B4A"/>
    <w:multiLevelType w:val="multilevel"/>
    <w:tmpl w:val="45F2A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51F912C6"/>
    <w:multiLevelType w:val="multilevel"/>
    <w:tmpl w:val="330A744C"/>
    <w:styleLink w:val="-2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0"/>
      <w:lvlText w:val="%1.%2.%3."/>
      <w:lvlJc w:val="left"/>
      <w:pPr>
        <w:ind w:left="2631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5326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F83C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A0E36D1"/>
    <w:multiLevelType w:val="multilevel"/>
    <w:tmpl w:val="38C2CE9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2006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3771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LQwNzcwMTA1sDQ1tDBQ0lEKTi0uzszPAykwrAUARm8O/ywAAAA="/>
  </w:docVars>
  <w:rsids>
    <w:rsidRoot w:val="00622409"/>
    <w:rsid w:val="00011CD7"/>
    <w:rsid w:val="00012B95"/>
    <w:rsid w:val="00012DA1"/>
    <w:rsid w:val="000173B2"/>
    <w:rsid w:val="00026DA2"/>
    <w:rsid w:val="00027E25"/>
    <w:rsid w:val="000302E8"/>
    <w:rsid w:val="00074DDF"/>
    <w:rsid w:val="00077AE9"/>
    <w:rsid w:val="000A71EF"/>
    <w:rsid w:val="000C7DA9"/>
    <w:rsid w:val="000D6B60"/>
    <w:rsid w:val="000F7517"/>
    <w:rsid w:val="00107C54"/>
    <w:rsid w:val="00151082"/>
    <w:rsid w:val="00194AB2"/>
    <w:rsid w:val="001B1A7E"/>
    <w:rsid w:val="002147E9"/>
    <w:rsid w:val="0022200F"/>
    <w:rsid w:val="00241931"/>
    <w:rsid w:val="00250CDE"/>
    <w:rsid w:val="0028219F"/>
    <w:rsid w:val="00282B1E"/>
    <w:rsid w:val="002941FC"/>
    <w:rsid w:val="002B02BC"/>
    <w:rsid w:val="002B6CA4"/>
    <w:rsid w:val="002C4E6F"/>
    <w:rsid w:val="002D7942"/>
    <w:rsid w:val="0030789C"/>
    <w:rsid w:val="00322B5A"/>
    <w:rsid w:val="00336CB6"/>
    <w:rsid w:val="00355BB2"/>
    <w:rsid w:val="00360FAC"/>
    <w:rsid w:val="00366E3A"/>
    <w:rsid w:val="003A038D"/>
    <w:rsid w:val="003A0460"/>
    <w:rsid w:val="003B797B"/>
    <w:rsid w:val="003C401D"/>
    <w:rsid w:val="003E7DFE"/>
    <w:rsid w:val="003F1D26"/>
    <w:rsid w:val="004016F4"/>
    <w:rsid w:val="00430F45"/>
    <w:rsid w:val="004358A8"/>
    <w:rsid w:val="00440270"/>
    <w:rsid w:val="00446E63"/>
    <w:rsid w:val="00452259"/>
    <w:rsid w:val="00457E1F"/>
    <w:rsid w:val="0047596E"/>
    <w:rsid w:val="00514D53"/>
    <w:rsid w:val="00543CD2"/>
    <w:rsid w:val="005679FE"/>
    <w:rsid w:val="00586142"/>
    <w:rsid w:val="005C3BFC"/>
    <w:rsid w:val="005D7839"/>
    <w:rsid w:val="00611CBD"/>
    <w:rsid w:val="00622409"/>
    <w:rsid w:val="00625341"/>
    <w:rsid w:val="00643057"/>
    <w:rsid w:val="00660159"/>
    <w:rsid w:val="00665CF3"/>
    <w:rsid w:val="00681414"/>
    <w:rsid w:val="006D092F"/>
    <w:rsid w:val="006D2033"/>
    <w:rsid w:val="006D2967"/>
    <w:rsid w:val="006D4513"/>
    <w:rsid w:val="006E014F"/>
    <w:rsid w:val="006F7277"/>
    <w:rsid w:val="007301BD"/>
    <w:rsid w:val="00731692"/>
    <w:rsid w:val="00734357"/>
    <w:rsid w:val="00742EA0"/>
    <w:rsid w:val="00750769"/>
    <w:rsid w:val="007513F1"/>
    <w:rsid w:val="007521AD"/>
    <w:rsid w:val="007559C6"/>
    <w:rsid w:val="00756CBA"/>
    <w:rsid w:val="00771A5C"/>
    <w:rsid w:val="007B6548"/>
    <w:rsid w:val="00853268"/>
    <w:rsid w:val="008C4881"/>
    <w:rsid w:val="008D6B5C"/>
    <w:rsid w:val="008E17A5"/>
    <w:rsid w:val="008F4A10"/>
    <w:rsid w:val="00903870"/>
    <w:rsid w:val="009065C6"/>
    <w:rsid w:val="00931E4B"/>
    <w:rsid w:val="00954977"/>
    <w:rsid w:val="00974CE8"/>
    <w:rsid w:val="009924F8"/>
    <w:rsid w:val="00993F66"/>
    <w:rsid w:val="009A0379"/>
    <w:rsid w:val="009E1C5C"/>
    <w:rsid w:val="00A11D6C"/>
    <w:rsid w:val="00A273E0"/>
    <w:rsid w:val="00A40268"/>
    <w:rsid w:val="00A65F4C"/>
    <w:rsid w:val="00A671DA"/>
    <w:rsid w:val="00A858AA"/>
    <w:rsid w:val="00A90064"/>
    <w:rsid w:val="00A93433"/>
    <w:rsid w:val="00A9691A"/>
    <w:rsid w:val="00AC3071"/>
    <w:rsid w:val="00B0392D"/>
    <w:rsid w:val="00B04BB6"/>
    <w:rsid w:val="00B35090"/>
    <w:rsid w:val="00B350E2"/>
    <w:rsid w:val="00B41531"/>
    <w:rsid w:val="00B41A6B"/>
    <w:rsid w:val="00B46D1A"/>
    <w:rsid w:val="00B51D88"/>
    <w:rsid w:val="00B53761"/>
    <w:rsid w:val="00B66321"/>
    <w:rsid w:val="00B72306"/>
    <w:rsid w:val="00B92C42"/>
    <w:rsid w:val="00BD4756"/>
    <w:rsid w:val="00C0347D"/>
    <w:rsid w:val="00C071E1"/>
    <w:rsid w:val="00C42C83"/>
    <w:rsid w:val="00C42E72"/>
    <w:rsid w:val="00C54DF9"/>
    <w:rsid w:val="00C83F11"/>
    <w:rsid w:val="00C966D6"/>
    <w:rsid w:val="00CA061E"/>
    <w:rsid w:val="00CC554F"/>
    <w:rsid w:val="00CE589D"/>
    <w:rsid w:val="00D10682"/>
    <w:rsid w:val="00D71B32"/>
    <w:rsid w:val="00D76A8C"/>
    <w:rsid w:val="00DB645D"/>
    <w:rsid w:val="00DB6B02"/>
    <w:rsid w:val="00DD06D0"/>
    <w:rsid w:val="00DF1D69"/>
    <w:rsid w:val="00E02C4C"/>
    <w:rsid w:val="00E26058"/>
    <w:rsid w:val="00E42599"/>
    <w:rsid w:val="00E45A6C"/>
    <w:rsid w:val="00E55239"/>
    <w:rsid w:val="00E56921"/>
    <w:rsid w:val="00E70F38"/>
    <w:rsid w:val="00E82EAB"/>
    <w:rsid w:val="00E857BE"/>
    <w:rsid w:val="00E9147E"/>
    <w:rsid w:val="00EA4B4E"/>
    <w:rsid w:val="00EB1EFC"/>
    <w:rsid w:val="00EB275C"/>
    <w:rsid w:val="00ED4218"/>
    <w:rsid w:val="00EE7967"/>
    <w:rsid w:val="00F0773E"/>
    <w:rsid w:val="00F40D68"/>
    <w:rsid w:val="00F53F1C"/>
    <w:rsid w:val="00F5474C"/>
    <w:rsid w:val="00F643BA"/>
    <w:rsid w:val="00F837E1"/>
    <w:rsid w:val="00F85838"/>
    <w:rsid w:val="00F8612D"/>
    <w:rsid w:val="00F90C77"/>
    <w:rsid w:val="00FA7207"/>
    <w:rsid w:val="00FB3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9EBA3"/>
  <w15:chartTrackingRefBased/>
  <w15:docId w15:val="{CDB3C623-924A-4E68-9BB3-0002AC92E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2409"/>
    <w:pPr>
      <w:bidi/>
    </w:pPr>
  </w:style>
  <w:style w:type="paragraph" w:styleId="1">
    <w:name w:val="heading 1"/>
    <w:aliases w:val="ראש פרק,1 כניסות כותרת,1 כניסות,ראשי גת,ASAPHeading 1, תו,כותרת 1 תו1,כותרת 1 תו תו, תו2 תו תו,H2 תו,H2,תו2 תו תו,h1,hdg1,H2 Char,H2 Char Char,H2 Char Char תו,Char Char Char,H2 Char Char תו Char Char Char Char Char,כותרת 1 תו2 תו,כותרת 1 תו2"/>
    <w:basedOn w:val="a"/>
    <w:next w:val="a"/>
    <w:link w:val="10"/>
    <w:qFormat/>
    <w:rsid w:val="006224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x.x.x.x,LP1,List Paragraph_0,List Paragraph_1,פיסקת bullets,lp1,FooterText,numbered,Paragraphe de liste1,פיסקת רשימה1,List Paragraph1,פיסקת רשימה11"/>
    <w:basedOn w:val="a"/>
    <w:link w:val="a4"/>
    <w:uiPriority w:val="34"/>
    <w:qFormat/>
    <w:rsid w:val="00622409"/>
    <w:pPr>
      <w:ind w:left="720"/>
      <w:contextualSpacing/>
    </w:pPr>
  </w:style>
  <w:style w:type="paragraph" w:styleId="a5">
    <w:name w:val="header"/>
    <w:basedOn w:val="a"/>
    <w:link w:val="a6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622409"/>
  </w:style>
  <w:style w:type="paragraph" w:styleId="a7">
    <w:name w:val="footer"/>
    <w:basedOn w:val="a"/>
    <w:link w:val="a8"/>
    <w:uiPriority w:val="99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622409"/>
  </w:style>
  <w:style w:type="character" w:styleId="Hyperlink">
    <w:name w:val="Hyperlink"/>
    <w:uiPriority w:val="99"/>
    <w:rsid w:val="00622409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aliases w:val="נספח 2 מתוקן תו,x.x.x.x תו,LP1 תו,List Paragraph_0 תו,List Paragraph_1 תו,פיסקת bullets תו,lp1 תו,FooterText תו,numbered תו,Paragraphe de liste1 תו,פיסקת רשימה1 תו,List Paragraph1 תו,פיסקת רשימה11 תו"/>
    <w:basedOn w:val="a0"/>
    <w:link w:val="a3"/>
    <w:uiPriority w:val="34"/>
    <w:rsid w:val="00622409"/>
  </w:style>
  <w:style w:type="paragraph" w:customStyle="1" w:styleId="2-0">
    <w:name w:val="2 - סעיף"/>
    <w:basedOn w:val="2-"/>
    <w:qFormat/>
    <w:rsid w:val="00622409"/>
    <w:pPr>
      <w:spacing w:before="120" w:after="120"/>
    </w:pPr>
    <w:rPr>
      <w:b w:val="0"/>
      <w:bCs w:val="0"/>
      <w:sz w:val="24"/>
      <w:szCs w:val="24"/>
    </w:rPr>
  </w:style>
  <w:style w:type="paragraph" w:customStyle="1" w:styleId="2-">
    <w:name w:val="2 - כותרת"/>
    <w:basedOn w:val="a3"/>
    <w:qFormat/>
    <w:rsid w:val="00622409"/>
    <w:pPr>
      <w:numPr>
        <w:ilvl w:val="1"/>
        <w:numId w:val="2"/>
      </w:numPr>
      <w:tabs>
        <w:tab w:val="num" w:pos="360"/>
      </w:tabs>
      <w:spacing w:before="360" w:after="240" w:line="360" w:lineRule="auto"/>
      <w:ind w:left="799" w:hanging="799"/>
      <w:contextualSpacing w:val="0"/>
      <w:jc w:val="both"/>
      <w:outlineLvl w:val="1"/>
    </w:pPr>
    <w:rPr>
      <w:rFonts w:ascii="David" w:eastAsia="Times New Roman" w:hAnsi="David" w:cs="David"/>
      <w:b/>
      <w:bCs/>
      <w:spacing w:val="15"/>
      <w:sz w:val="32"/>
      <w:szCs w:val="32"/>
    </w:rPr>
  </w:style>
  <w:style w:type="paragraph" w:customStyle="1" w:styleId="1-">
    <w:name w:val="1 - כותרת"/>
    <w:basedOn w:val="1"/>
    <w:qFormat/>
    <w:rsid w:val="00622409"/>
    <w:pPr>
      <w:keepLines w:val="0"/>
      <w:numPr>
        <w:numId w:val="2"/>
      </w:numPr>
      <w:tabs>
        <w:tab w:val="num" w:pos="360"/>
      </w:tabs>
      <w:spacing w:after="240" w:line="360" w:lineRule="auto"/>
      <w:ind w:left="0" w:firstLine="0"/>
    </w:pPr>
    <w:rPr>
      <w:rFonts w:ascii="David" w:eastAsia="Times New Roman" w:hAnsi="David" w:cs="David"/>
      <w:b/>
      <w:bCs/>
      <w:caps/>
      <w:color w:val="auto"/>
      <w:spacing w:val="15"/>
      <w:sz w:val="40"/>
      <w:szCs w:val="40"/>
    </w:rPr>
  </w:style>
  <w:style w:type="paragraph" w:customStyle="1" w:styleId="3-0">
    <w:name w:val="3 - כותרת"/>
    <w:basedOn w:val="a"/>
    <w:qFormat/>
    <w:rsid w:val="00622409"/>
    <w:pPr>
      <w:numPr>
        <w:ilvl w:val="2"/>
        <w:numId w:val="2"/>
      </w:numPr>
      <w:spacing w:before="120" w:after="120" w:line="360" w:lineRule="auto"/>
      <w:ind w:left="1586" w:hanging="851"/>
      <w:jc w:val="both"/>
      <w:outlineLvl w:val="2"/>
    </w:pPr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סעיף"/>
    <w:basedOn w:val="a3"/>
    <w:qFormat/>
    <w:rsid w:val="00622409"/>
    <w:pPr>
      <w:numPr>
        <w:ilvl w:val="3"/>
        <w:numId w:val="2"/>
      </w:numPr>
      <w:tabs>
        <w:tab w:val="num" w:pos="360"/>
      </w:tabs>
      <w:spacing w:before="120" w:after="120" w:line="360" w:lineRule="auto"/>
      <w:ind w:left="2088" w:firstLine="0"/>
      <w:contextualSpacing w:val="0"/>
      <w:jc w:val="both"/>
      <w:outlineLvl w:val="3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3"/>
    <w:qFormat/>
    <w:rsid w:val="00622409"/>
    <w:pPr>
      <w:numPr>
        <w:ilvl w:val="4"/>
        <w:numId w:val="2"/>
      </w:numPr>
      <w:tabs>
        <w:tab w:val="num" w:pos="360"/>
      </w:tabs>
      <w:spacing w:before="120" w:after="120" w:line="360" w:lineRule="auto"/>
      <w:ind w:left="720" w:firstLine="0"/>
      <w:contextualSpacing w:val="0"/>
      <w:jc w:val="both"/>
      <w:outlineLvl w:val="4"/>
    </w:pPr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622409"/>
    <w:pPr>
      <w:numPr>
        <w:ilvl w:val="5"/>
      </w:numPr>
      <w:tabs>
        <w:tab w:val="num" w:pos="360"/>
      </w:tabs>
      <w:ind w:left="3287" w:hanging="1276"/>
    </w:pPr>
  </w:style>
  <w:style w:type="paragraph" w:customStyle="1" w:styleId="7-">
    <w:name w:val="7 - סעיף"/>
    <w:basedOn w:val="6-"/>
    <w:qFormat/>
    <w:rsid w:val="00622409"/>
    <w:pPr>
      <w:numPr>
        <w:ilvl w:val="6"/>
      </w:numPr>
      <w:tabs>
        <w:tab w:val="num" w:pos="360"/>
      </w:tabs>
    </w:pPr>
  </w:style>
  <w:style w:type="paragraph" w:customStyle="1" w:styleId="8-">
    <w:name w:val="8 - סעיף"/>
    <w:basedOn w:val="7-"/>
    <w:qFormat/>
    <w:rsid w:val="00622409"/>
    <w:pPr>
      <w:numPr>
        <w:ilvl w:val="7"/>
      </w:numPr>
      <w:tabs>
        <w:tab w:val="num" w:pos="360"/>
      </w:tabs>
    </w:pPr>
  </w:style>
  <w:style w:type="numbering" w:customStyle="1" w:styleId="-2">
    <w:name w:val="משרד האוצר - מדורג קצר2"/>
    <w:uiPriority w:val="99"/>
    <w:rsid w:val="00622409"/>
    <w:pPr>
      <w:numPr>
        <w:numId w:val="2"/>
      </w:numPr>
    </w:pPr>
  </w:style>
  <w:style w:type="paragraph" w:customStyle="1" w:styleId="3-">
    <w:name w:val="3 - סעיף"/>
    <w:basedOn w:val="3-0"/>
    <w:qFormat/>
    <w:rsid w:val="00622409"/>
    <w:pPr>
      <w:numPr>
        <w:numId w:val="3"/>
      </w:numPr>
      <w:ind w:left="1586" w:hanging="851"/>
    </w:pPr>
    <w:rPr>
      <w:b w:val="0"/>
      <w:bCs w:val="0"/>
    </w:rPr>
  </w:style>
  <w:style w:type="character" w:customStyle="1" w:styleId="10">
    <w:name w:val="כותרת 1 תו"/>
    <w:aliases w:val="ראש פרק תו,1 כניסות כותרת תו,1 כניסות תו,ראשי גת תו,ASAPHeading 1 תו, תו תו,כותרת 1 תו1 תו,כותרת 1 תו תו תו, תו2 תו תו תו,H2 תו תו,H2 תו1,תו2 תו תו תו,h1 תו,hdg1 תו,H2 Char תו,H2 Char Char תו1,H2 Char Char תו תו,Char Char Char תו"/>
    <w:basedOn w:val="a0"/>
    <w:link w:val="1"/>
    <w:uiPriority w:val="9"/>
    <w:rsid w:val="006224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8">
    <w:name w:val="8 סעיף"/>
    <w:basedOn w:val="7-"/>
    <w:qFormat/>
    <w:rsid w:val="00026DA2"/>
    <w:pPr>
      <w:numPr>
        <w:ilvl w:val="0"/>
        <w:numId w:val="0"/>
      </w:numPr>
      <w:tabs>
        <w:tab w:val="left" w:pos="2555"/>
      </w:tabs>
      <w:spacing w:before="0"/>
      <w:ind w:left="2555" w:hanging="1580"/>
      <w:outlineLvl w:val="9"/>
    </w:pPr>
    <w:rPr>
      <w:rFonts w:eastAsia="Calibri"/>
      <w:color w:val="000000"/>
      <w:sz w:val="22"/>
    </w:rPr>
  </w:style>
  <w:style w:type="paragraph" w:customStyle="1" w:styleId="7">
    <w:name w:val="7 סעיף"/>
    <w:basedOn w:val="a"/>
    <w:qFormat/>
    <w:rsid w:val="00026DA2"/>
    <w:pPr>
      <w:tabs>
        <w:tab w:val="left" w:pos="2275"/>
      </w:tabs>
      <w:spacing w:after="120" w:line="360" w:lineRule="auto"/>
      <w:ind w:left="2261" w:hanging="1540"/>
      <w:jc w:val="both"/>
      <w:outlineLvl w:val="6"/>
    </w:pPr>
    <w:rPr>
      <w:rFonts w:ascii="David" w:eastAsia="Times New Roman" w:hAnsi="David" w:cs="David"/>
      <w:color w:val="000000"/>
      <w:sz w:val="24"/>
      <w:szCs w:val="24"/>
    </w:rPr>
  </w:style>
  <w:style w:type="paragraph" w:customStyle="1" w:styleId="2">
    <w:name w:val="2 כות'"/>
    <w:basedOn w:val="a"/>
    <w:qFormat/>
    <w:rsid w:val="00026DA2"/>
    <w:pPr>
      <w:tabs>
        <w:tab w:val="left" w:pos="634"/>
      </w:tabs>
      <w:spacing w:after="200" w:line="360" w:lineRule="auto"/>
      <w:ind w:left="634" w:hanging="634"/>
      <w:jc w:val="both"/>
      <w:outlineLvl w:val="1"/>
    </w:pPr>
    <w:rPr>
      <w:rFonts w:ascii="David" w:eastAsia="Times New Roman" w:hAnsi="David" w:cs="David"/>
      <w:b/>
      <w:bCs/>
      <w:sz w:val="28"/>
      <w:szCs w:val="28"/>
      <w:u w:val="single"/>
    </w:rPr>
  </w:style>
  <w:style w:type="paragraph" w:customStyle="1" w:styleId="3">
    <w:name w:val="3 כות'"/>
    <w:basedOn w:val="a"/>
    <w:link w:val="30"/>
    <w:qFormat/>
    <w:rsid w:val="00026DA2"/>
    <w:pPr>
      <w:tabs>
        <w:tab w:val="left" w:pos="909"/>
      </w:tabs>
      <w:spacing w:after="120" w:line="360" w:lineRule="auto"/>
      <w:ind w:left="504" w:hanging="504"/>
      <w:jc w:val="both"/>
      <w:outlineLvl w:val="2"/>
    </w:pPr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paragraph" w:customStyle="1" w:styleId="40">
    <w:name w:val="4 סעיף"/>
    <w:basedOn w:val="a"/>
    <w:link w:val="41"/>
    <w:qFormat/>
    <w:rsid w:val="00026DA2"/>
    <w:pPr>
      <w:tabs>
        <w:tab w:val="left" w:pos="1334"/>
      </w:tabs>
      <w:spacing w:after="120" w:line="360" w:lineRule="auto"/>
      <w:ind w:left="648" w:hanging="648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5">
    <w:name w:val="5 סעיף"/>
    <w:basedOn w:val="a"/>
    <w:link w:val="50"/>
    <w:qFormat/>
    <w:rsid w:val="00026DA2"/>
    <w:pPr>
      <w:tabs>
        <w:tab w:val="left" w:pos="1617"/>
      </w:tabs>
      <w:spacing w:after="120" w:line="360" w:lineRule="auto"/>
      <w:ind w:left="1617" w:hanging="1275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6">
    <w:name w:val="6 סעיף"/>
    <w:basedOn w:val="a"/>
    <w:link w:val="60"/>
    <w:qFormat/>
    <w:rsid w:val="00026DA2"/>
    <w:pPr>
      <w:tabs>
        <w:tab w:val="left" w:pos="1841"/>
      </w:tabs>
      <w:spacing w:after="120" w:line="360" w:lineRule="auto"/>
      <w:ind w:left="1841" w:hanging="1288"/>
      <w:jc w:val="both"/>
      <w:outlineLvl w:val="5"/>
    </w:pPr>
    <w:rPr>
      <w:rFonts w:ascii="David" w:eastAsia="Times New Roman" w:hAnsi="David" w:cs="David"/>
      <w:sz w:val="24"/>
      <w:szCs w:val="24"/>
    </w:rPr>
  </w:style>
  <w:style w:type="paragraph" w:customStyle="1" w:styleId="31">
    <w:name w:val="3 סעיף"/>
    <w:basedOn w:val="3"/>
    <w:link w:val="32"/>
    <w:qFormat/>
    <w:rsid w:val="00026DA2"/>
    <w:pPr>
      <w:numPr>
        <w:ilvl w:val="2"/>
      </w:numPr>
      <w:ind w:left="504" w:hanging="504"/>
    </w:pPr>
    <w:rPr>
      <w:b w:val="0"/>
      <w:bCs w:val="0"/>
      <w:u w:val="none"/>
    </w:rPr>
  </w:style>
  <w:style w:type="paragraph" w:customStyle="1" w:styleId="3-1">
    <w:name w:val="3-פסקה"/>
    <w:basedOn w:val="a"/>
    <w:link w:val="3-2"/>
    <w:qFormat/>
    <w:rsid w:val="00026DA2"/>
    <w:pPr>
      <w:tabs>
        <w:tab w:val="left" w:pos="909"/>
      </w:tabs>
      <w:spacing w:after="120" w:line="360" w:lineRule="auto"/>
      <w:ind w:left="909"/>
      <w:jc w:val="both"/>
      <w:outlineLvl w:val="2"/>
    </w:pPr>
    <w:rPr>
      <w:rFonts w:ascii="David" w:eastAsia="Times New Roman" w:hAnsi="David" w:cs="David"/>
      <w:color w:val="000000"/>
      <w:sz w:val="24"/>
      <w:szCs w:val="24"/>
    </w:rPr>
  </w:style>
  <w:style w:type="character" w:customStyle="1" w:styleId="32">
    <w:name w:val="3 סעיף תו"/>
    <w:link w:val="3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3-2">
    <w:name w:val="3-פסקה תו"/>
    <w:link w:val="3-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50">
    <w:name w:val="5 סעיף תו"/>
    <w:link w:val="5"/>
    <w:rsid w:val="00731692"/>
    <w:rPr>
      <w:rFonts w:ascii="David" w:eastAsia="Times New Roman" w:hAnsi="David" w:cs="David"/>
      <w:sz w:val="24"/>
      <w:szCs w:val="24"/>
    </w:rPr>
  </w:style>
  <w:style w:type="character" w:customStyle="1" w:styleId="30">
    <w:name w:val="3 כות' תו"/>
    <w:link w:val="3"/>
    <w:rsid w:val="00F53F1C"/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character" w:customStyle="1" w:styleId="41">
    <w:name w:val="4 סעיף תו"/>
    <w:link w:val="40"/>
    <w:rsid w:val="00F53F1C"/>
    <w:rPr>
      <w:rFonts w:ascii="David" w:eastAsia="Times New Roman" w:hAnsi="David" w:cs="David"/>
      <w:sz w:val="24"/>
      <w:szCs w:val="24"/>
    </w:rPr>
  </w:style>
  <w:style w:type="character" w:customStyle="1" w:styleId="60">
    <w:name w:val="6 סעיף תו"/>
    <w:link w:val="6"/>
    <w:rsid w:val="00F53F1C"/>
    <w:rPr>
      <w:rFonts w:ascii="David" w:eastAsia="Times New Roman" w:hAnsi="David" w:cs="David"/>
      <w:sz w:val="24"/>
      <w:szCs w:val="24"/>
    </w:rPr>
  </w:style>
  <w:style w:type="paragraph" w:customStyle="1" w:styleId="4">
    <w:name w:val="4 כות'"/>
    <w:basedOn w:val="40"/>
    <w:link w:val="42"/>
    <w:qFormat/>
    <w:rsid w:val="00F53F1C"/>
    <w:pPr>
      <w:numPr>
        <w:ilvl w:val="3"/>
        <w:numId w:val="5"/>
      </w:numPr>
    </w:pPr>
    <w:rPr>
      <w:b/>
      <w:bCs/>
      <w:u w:val="single"/>
    </w:rPr>
  </w:style>
  <w:style w:type="paragraph" w:customStyle="1" w:styleId="4-0">
    <w:name w:val="4-פסקה"/>
    <w:basedOn w:val="40"/>
    <w:link w:val="4-1"/>
    <w:qFormat/>
    <w:rsid w:val="00F53F1C"/>
    <w:pPr>
      <w:ind w:left="1334" w:firstLine="0"/>
    </w:pPr>
  </w:style>
  <w:style w:type="character" w:customStyle="1" w:styleId="42">
    <w:name w:val="4 כות' תו"/>
    <w:link w:val="4"/>
    <w:rsid w:val="00F53F1C"/>
    <w:rPr>
      <w:rFonts w:ascii="David" w:eastAsia="Times New Roman" w:hAnsi="David" w:cs="David"/>
      <w:b/>
      <w:bCs/>
      <w:sz w:val="24"/>
      <w:szCs w:val="24"/>
      <w:u w:val="single"/>
    </w:rPr>
  </w:style>
  <w:style w:type="character" w:customStyle="1" w:styleId="4-1">
    <w:name w:val="4-פסקה תו"/>
    <w:link w:val="4-0"/>
    <w:rsid w:val="00F53F1C"/>
    <w:rPr>
      <w:rFonts w:ascii="David" w:eastAsia="Times New Roman" w:hAnsi="David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435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34357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D71B3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D71B32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D71B32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D71B3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D71B32"/>
    <w:rPr>
      <w:b/>
      <w:bCs/>
      <w:sz w:val="20"/>
      <w:szCs w:val="20"/>
    </w:rPr>
  </w:style>
  <w:style w:type="character" w:customStyle="1" w:styleId="UnresolvedMention">
    <w:name w:val="Unresolved Mention"/>
    <w:basedOn w:val="a0"/>
    <w:uiPriority w:val="99"/>
    <w:semiHidden/>
    <w:unhideWhenUsed/>
    <w:rsid w:val="00974C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3-2022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728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יוכי בר-מימון</dc:creator>
  <cp:keywords/>
  <dc:description/>
  <cp:lastModifiedBy>יוכי בר-מימון</cp:lastModifiedBy>
  <cp:revision>2</cp:revision>
  <cp:lastPrinted>2022-04-14T08:44:00Z</cp:lastPrinted>
  <dcterms:created xsi:type="dcterms:W3CDTF">2022-06-19T07:22:00Z</dcterms:created>
  <dcterms:modified xsi:type="dcterms:W3CDTF">2022-06-19T07:22:00Z</dcterms:modified>
</cp:coreProperties>
</file>